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17" w:rsidRPr="00876817" w:rsidRDefault="00876817" w:rsidP="00876817">
      <w:pPr>
        <w:widowControl/>
        <w:shd w:val="clear" w:color="auto" w:fill="FFFFFF"/>
        <w:spacing w:line="480" w:lineRule="atLeast"/>
        <w:jc w:val="center"/>
        <w:rPr>
          <w:rFonts w:ascii="Arial" w:eastAsia="宋体" w:hAnsi="Arial" w:cs="Arial"/>
          <w:color w:val="116CD2"/>
          <w:kern w:val="0"/>
          <w:sz w:val="39"/>
          <w:szCs w:val="39"/>
        </w:rPr>
      </w:pPr>
      <w:r w:rsidRPr="00876817">
        <w:rPr>
          <w:rFonts w:ascii="Arial" w:eastAsia="宋体" w:hAnsi="Arial" w:cs="Arial"/>
          <w:color w:val="116CD2"/>
          <w:kern w:val="0"/>
          <w:sz w:val="39"/>
          <w:szCs w:val="39"/>
        </w:rPr>
        <w:t>中共中央</w:t>
      </w:r>
      <w:r w:rsidRPr="00876817">
        <w:rPr>
          <w:rFonts w:ascii="Arial" w:eastAsia="宋体" w:hAnsi="Arial" w:cs="Arial"/>
          <w:color w:val="116CD2"/>
          <w:kern w:val="0"/>
          <w:sz w:val="39"/>
          <w:szCs w:val="39"/>
        </w:rPr>
        <w:t xml:space="preserve"> </w:t>
      </w:r>
      <w:r w:rsidRPr="00876817">
        <w:rPr>
          <w:rFonts w:ascii="Arial" w:eastAsia="宋体" w:hAnsi="Arial" w:cs="Arial"/>
          <w:color w:val="116CD2"/>
          <w:kern w:val="0"/>
          <w:sz w:val="39"/>
          <w:szCs w:val="39"/>
        </w:rPr>
        <w:t>国务院印发《交通强国建设纲要》</w:t>
      </w:r>
    </w:p>
    <w:p w:rsidR="00876817" w:rsidRPr="00876817" w:rsidRDefault="00876817" w:rsidP="00876817">
      <w:pPr>
        <w:widowControl/>
        <w:shd w:val="clear" w:color="auto" w:fill="EAEAEA"/>
        <w:jc w:val="right"/>
        <w:rPr>
          <w:rFonts w:ascii="Arial" w:eastAsia="宋体" w:hAnsi="Arial" w:cs="Arial"/>
          <w:color w:val="000066"/>
          <w:kern w:val="0"/>
          <w:sz w:val="18"/>
          <w:szCs w:val="18"/>
        </w:rPr>
      </w:pPr>
      <w:r w:rsidRPr="00876817">
        <w:rPr>
          <w:rFonts w:ascii="Arial" w:eastAsia="宋体" w:hAnsi="Arial" w:cs="Arial"/>
          <w:color w:val="000066"/>
          <w:kern w:val="0"/>
          <w:sz w:val="18"/>
          <w:szCs w:val="18"/>
        </w:rPr>
        <w:t xml:space="preserve">　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 xml:space="preserve">　　新华社北京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9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月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19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日电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 xml:space="preserve"> 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近日，中共中央、国务院印发了《交通强国建设纲要》，并发出通知，要求各地区各部门结合实际认真贯彻落实。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 xml:space="preserve">　　《交通强国建设纲要》全文如下。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 xml:space="preserve">　　建设交通强国是以习近平同志为核心的党中央立足国情、着眼全局、面向未来作出的重大战略决策，是建设现代化经济体系的先行领域，是全面建成社会主义现代化强国的重要支撑，是新时代做好交通工作的总抓手。为统筹推进交通强国建设，制定本纲要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color w:val="000066"/>
          <w:kern w:val="0"/>
          <w:sz w:val="24"/>
          <w:szCs w:val="24"/>
        </w:rPr>
        <w:t xml:space="preserve">　　一、总体要求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t xml:space="preserve">　　（一）指导思想。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以习近平新时代中国特色社会主义思想为指导，深入贯彻党的十九大精神，紧紧围绕统筹推进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“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五位一体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”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总体布局和协调推进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“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四个全面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”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战略布局，坚持稳中求进工作总基调，坚持新发展理念，坚持推动高质量发展，坚持以供给侧结构性改革为主线，坚持以人民为中心的发展思想，牢牢把握交通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“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先行官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”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定位，适度超前，进一步解放思想、开拓进取，推动交通发展由追求速度规模向更加注重质量效益转变，由各种交通方式相对独立发展向更加注重一体化融合发展转变，由依靠传统要素驱动向更加注重创新驱动转变，构建安全、便捷、高效、绿色、经济的现代化综合交通体系，打造一流设施、一流技术、一流管理、一流服务，建成人民满意、保障有力、世界前列的交通强国，为全面建成社会主义现代化强国、实现中华民族伟大复兴中国梦提供坚强支撑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t xml:space="preserve">　　（二）发展目标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 xml:space="preserve">　　到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2020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年，完成决胜全面建成小康社会交通建设任务和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“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十三五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”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现代综合交通运输体系发展规划各项任务，为交通强国建设奠定坚实基础。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 xml:space="preserve">　　从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2021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年到本世纪中叶，分两个阶段推进交通强国建设。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 xml:space="preserve">　　到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2035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年，基本建成交通强国。现代化综合交通体系基本形成，人民满意度明显提高，支撑国家现代化建设能力显著增强；拥有发达的快速网、完善的干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lastRenderedPageBreak/>
        <w:t>线网、广泛的基础网，城乡区域交通协调发展达到新高度；基本形成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“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全国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123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出行交通圈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”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（都市区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1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小时通勤、城市群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2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小时通达、全国主要城市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3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小时覆盖）和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“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全球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123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快货物流圈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”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（国内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1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天送达、周边国家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2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天送达、全球主要城市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3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天送达），旅客联程运输便捷顺畅，货物多式联运高效经济；智能、平安、绿色、共享交通发展水平明显提高，城市交通拥堵基本缓解，无障碍出行服务体系基本完善；交通科技创新体系基本建成，交通关键装备先进安全，人才队伍精良，市场环境优良；基本实现交通治理体系和治理能力现代化；交通国际竞争力和影响力显著提升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 xml:space="preserve">　　到本世纪中叶，全面建成人民满意、保障有力、世界前列的交通强国。基础设施规模质量、技术装备、科技创新能力、智能化与绿色化水平位居世界前列，交通安全水平、治理能力、文明程度、国际竞争力及影响力达到国际先进水平，全面服务和保障社会主义现代化强国建设，人民享有美好交通服务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color w:val="000066"/>
          <w:kern w:val="0"/>
          <w:sz w:val="24"/>
          <w:szCs w:val="24"/>
        </w:rPr>
        <w:t xml:space="preserve">　　二、基础设施布局完善、立体互联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t xml:space="preserve">　　（一）建设现代化高质量综合立体交通网络。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以国家发展规划为依据，发挥国土空间规划的指导和约束作用，统筹铁路、公路、水运、民航、管道、邮政等基础设施规划建设，以多中心、网络化为主形态，完善多层次网络布局，优化存量资源配置，扩大优质增量供给，实现立体互联，增强系统弹性。强化西部地区补短板，推进东北地区提质改造，推动中部地区大通道大枢纽建设，加速东部地区优化升级，形成区域交通协调发展新格局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t xml:space="preserve">　　（二）构建便捷顺畅的城市（群）交通网。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建设城市群一体化交通网，推进干线铁路、城际铁路、市域（郊）铁路、城市轨道交通融合发展，完善城市群快速公路网络，加强公路与城市道路衔接。尊重城市发展规律，立足促进城市的整体性、系统性、生长性，统筹安排城市功能和用地布局，科学制定和实施城市综合交通体系规划。推进城市公共交通设施建设，强化城市轨道交通与其他交通方式衔接，完善快速路、主次干路、支路级配和结构合理的城市道路网，打通道路微循环，提高道路通达性，完善城市步行和非机动车交通系统，提升步行、自行车等出行品质，完善无障碍设施。科学规划建设城市停车设施，加强充电、加氢、加气和公交站点等设施建设。全面提升城市交通基础设施智能化水平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lastRenderedPageBreak/>
        <w:t xml:space="preserve">　　（三）形成广覆盖的农村交通基础设施网。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全面推进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“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四好农村路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”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建设，加快实施通村组硬化路建设，建立规范化可持续管护机制。促进交通建设与农村地区资源开发、产业发展有机融合，加强特色农产品优势区与旅游资源富集区交通建设。大力推进革命老区、民族地区、边疆地区、贫困地区、垦区林区交通发展，实现以交通便利带动脱贫减贫，深度贫困地区交通建设项目尽量向进村入户倾斜。推动资源丰富和人口相对密集贫困地区开发性铁路建设，在有条件的地区推进具备旅游、农业作业、应急救援等功能的通用机场建设，加强农村邮政等基础设施建设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t xml:space="preserve">　　（四）构筑多层级、一体化的综合交通枢纽体系。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依托京津冀、长三角、粤港澳大湾区等世界级城市群，打造具有全球竞争力的国际海港枢纽、航空枢纽和邮政快递核心枢纽，建设一批全国性、区域性交通枢纽，推进综合交通枢纽一体化规划建设，提高换乘换装水平，完善集疏运体系。大力发展枢纽经济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color w:val="000066"/>
          <w:kern w:val="0"/>
          <w:sz w:val="24"/>
          <w:szCs w:val="24"/>
        </w:rPr>
        <w:t xml:space="preserve">　　三、交通装备先进适用、完备可控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t xml:space="preserve">　　（一）加强新型载运工具研发。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实现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3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万吨级重载列车、时速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250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公里级高速轮轨货运列车等方面的重大突破。加强智能网联汽车（智能汽车、自动驾驶、车路协同）研发，形成自主可控完整的产业链。强化大中型邮轮、大型液化天然气船、极地航行船舶、智能船舶、新能源船舶等自主设计建造能力。完善民用飞机产品谱系，在大型民用飞机、重型直升机、通用航空器等方面取得显著进展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t xml:space="preserve">　　（二）加强特种装备研发。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推进隧道工程、整跨吊运安装设备等工程机械装备研发。研发水下机器人、深潜水装备、大型溢油回收船、大型深远海多功能救助船等新型装备。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t xml:space="preserve">　　（三）推进装备技术升级。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推广新能源、清洁能源、智能化、数字化、轻量化、环保型交通装备及成套技术装备。广泛应用智能高铁、智能道路、智能航运、自动化码头、数字管网、智能仓储和分拣系统等新型装备设施，开发新一代智能交通管理系统。提升国产飞机和发动机技术水平，加强民用航空器、发动机研发制造和适航审定体系建设。推广应用交通装备的智能检测监测和运维技术。加速淘汰落后技术和高耗低效交通装备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color w:val="000066"/>
          <w:kern w:val="0"/>
          <w:sz w:val="24"/>
          <w:szCs w:val="24"/>
        </w:rPr>
        <w:lastRenderedPageBreak/>
        <w:t xml:space="preserve">　　四、运输服务便捷舒适、经济高效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t xml:space="preserve">　　（一）推进出行服务快速化、便捷化。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构筑以高铁、航空为主体的大容量、高效率区际快速客运服务，提升主要通道旅客运输能力。完善航空服务网络，逐步加密机场网建设，大力发展支线航空，推进干支有效衔接，提高航空服务能力和品质。提高城市群内轨道交通通勤化水平，推广城际道路客运公交化运行模式，打造旅客联程运输系统。加强城市交通拥堵综合治理，优先发展城市公共交通，鼓励引导绿色公交出行，合理引导个体机动化出行。推进城乡客运服务一体化，提升公共服务均等化水平，保障城乡居民行有所乘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t xml:space="preserve">　　（二）打造绿色高效的现代物流系统。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优化运输结构，加快推进港口集疏运铁路、物流园区及大型工矿企业铁路专用线等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“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公转铁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”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重点项目建设，推进大宗货物及中长距离货物运输向铁路和水运有序转移。推动铁水、公铁、公水、空陆等联运发展，推广跨方式快速换装转运标准化设施设备，形成统一的多式联运标准和规则。发挥公路货运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“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门到门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”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优势。完善航空物流网络，提升航空货运效率。推进电商物流、冷链物流、大件运输、危险品物流等专业化物流发展，促进城际干线运输和城市末端配送有机衔接，鼓励发展集约化配送模式。综合利用多种资源，完善农村配送网络，促进城乡双向流通。落实减税降费政策，优化物流组织模式，提高物流效率，降低物流成本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t xml:space="preserve">　　（三）加速新业态新模式发展。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深化交通运输与旅游融合发展，推动旅游专列、旅游风景道、旅游航道、自驾车房车营地、游艇旅游、低空飞行旅游等发展，完善客运枢纽、高速公路服务区等交通设施旅游服务功能。大力发展共享交通，打造基于移动智能终端技术的服务系统，实现出行即服务。发展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“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互联网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+”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高效物流，创新智慧物流营运模式。培育充满活力的通用航空及市域（郊）铁路市场，完善政府购买服务政策，稳步扩大短途运输、公益服务、航空消费等市场规模。建立通达全球的寄递服务体系，推动邮政普遍服务升级换代。加快快递扩容增效和数字化转型，壮大供应链服务、冷链快递、即时直递等新业态新模式，推进智能收投终端和末端公共服务平台建设。积极发展无人机（车）物流递送、城市地下物流配送等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color w:val="000066"/>
          <w:kern w:val="0"/>
          <w:sz w:val="24"/>
          <w:szCs w:val="24"/>
        </w:rPr>
        <w:t xml:space="preserve">　　五、科技创新富有活力、智慧引领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lastRenderedPageBreak/>
        <w:t xml:space="preserve">　　（一）强化前沿关键科技研发。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瞄准新一代信息技术、人工智能、智能制造、新材料、新能源等世界科技前沿，加强对可能引发交通产业变革的前瞻性、颠覆性技术研究。强化汽车、民用飞行器、船舶等装备动力传动系统研发，突破高效率、大推力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/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大功率发动机装备设备关键技术。加强区域综合交通网络协调运营与服务技术、城市综合交通协同管控技术、基于船岸协同的内河航运安全管控与应急搜救技术等研发。合理统筹安排时速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600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公里级高速磁悬浮系统、时速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400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公里级高速轮轨（含可变轨距）客运列车系统、低真空管（隧）道高速列车等技术储备研发。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t xml:space="preserve">　　（二）大力发展智慧交通。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推动大数据、互联网、人工智能、区块链、超级计算等新技术与交通行业深度融合。推进数据资源赋能交通发展，加速交通基础设施网、运输服务网、能源网与信息网络融合发展，构建泛在先进的交通信息基础设施。构建综合交通大数据中心体系，深化交通公共服务和电子政务发展。推进北斗卫星导航系统应用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t xml:space="preserve">　　（三）完善科技创新机制。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建立以企业为主体、产学研用深度融合的技术创新机制，鼓励交通行业各类创新主体建立创新联盟，建立关键核心技术攻关机制。建设一批具有国际影响力的实验室、试验基地、技术创新中心等创新平台，加大资源开放共享力度，优化科研资金投入机制。构建适应交通高质量发展的标准体系，加强重点领域标准有效供给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color w:val="000066"/>
          <w:kern w:val="0"/>
          <w:sz w:val="24"/>
          <w:szCs w:val="24"/>
        </w:rPr>
        <w:t xml:space="preserve">　　六、安全保障完善可靠、反应快速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t xml:space="preserve">　　（一）提升本质安全水平。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完善交通基础设施安全技术标准规范，持续加大基础设施安全防护投入，提升关键基础设施安全防护能力。构建现代化工程建设质量管理体系，推进精品建造和精细管理。强化交通基础设施养护，加强基础设施运行监测检测，提高养护专业化、信息化水平，增强设施耐久性和可靠性。强化载运工具质量治理，保障运输装备安全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t xml:space="preserve">　　（二）完善交通安全生产体系。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完善依法治理体系，健全交通安全生产法规制度和标准规范。完善安全责任体系，强化企业主体责任，明确部门监管责任。完善预防控制体系，有效防控系统性风险，建立交通装备、工程第三方认证制度。强化安全生产事故调查评估。完善网络安全保障体系，增强科技兴安能力，加强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lastRenderedPageBreak/>
        <w:t>交通信息基础设施安全保护。完善支撑保障体系，加强安全设施建设。建立自然灾害交通防治体系，提高交通防灾抗灾能力。加强交通安全综合治理，切实提高交通安全水平。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t xml:space="preserve">　　（三）强化交通应急救援能力。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建立健全综合交通应急管理体制机制、法规制度和预案体系，加强应急救援专业装备、设施、队伍建设，积极参与国际应急救援合作。强化应急救援社会协同能力，完善征用补偿机制。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color w:val="000066"/>
          <w:kern w:val="0"/>
          <w:sz w:val="24"/>
          <w:szCs w:val="24"/>
        </w:rPr>
        <w:t xml:space="preserve">　　七、绿色发展节约集约、低碳环保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t xml:space="preserve">　　（一）促进资源节约集约利用。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加强土地、海域、无居民海岛、岸线、空域等资源节约集约利用，提升用地用海用岛效率。加强老旧设施更新利用，推广施工材料、废旧材料再生和综合利用，推进邮件快件包装绿色化、减量化，提高资源再利用和循环利用水平，推进交通资源循环利用产业发展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t xml:space="preserve">　　（二）强化节能减排和污染防治。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优化交通能源结构，推进新能源、清洁能源应用，促进公路货运节能减排，推动城市公共交通工具和城市物流配送车辆全部实现电动化、新能源化和清洁化。打好柴油货车污染治理攻坚战，统筹油、路、车治理，有效防治公路运输大气污染。严格执行国家和地方污染物控制标准及船舶排放区要求，推进船舶、港口污染防治。降低交通沿线噪声、振动，妥善处理好大型机场噪声影响。开展绿色出行行动，倡导绿色低碳出行理念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t xml:space="preserve">　　（三）强化交通生态环境保护修复。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严守生态保护红线，严格落实生态保护和水土保持措施，严格实施生态修复、地质环境治理恢复与土地复垦，将生态环保理念贯穿交通基础设施规划、建设、运营和养护全过程。推进生态选线选址，强化生态环保设计，避让耕地、林地、湿地等具有重要生态功能的国土空间。建设绿色交通廊道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color w:val="000066"/>
          <w:kern w:val="0"/>
          <w:sz w:val="24"/>
          <w:szCs w:val="24"/>
        </w:rPr>
        <w:t xml:space="preserve">　　八、开放合作面向全球、互利共赢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t xml:space="preserve">　　（一）构建互联互通、面向全球的交通网络。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以丝绸之路经济带六大国际经济合作走廊为主体，推进与周边国家铁路、公路、航道、油气管道等基础设施互联互通。提高海运、民航的全球连接度，建设世界一流的国际航运中心，推进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21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世纪海上丝绸之路建设。拓展国际航运物流，发展铁路国际班列，推进跨境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lastRenderedPageBreak/>
        <w:t>道路运输便利化，大力发展航空物流枢纽，构建国际寄递物流供应链体系，打造陆海新通道。维护国际海运重要通道安全与畅通。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t xml:space="preserve">　　（二）加大对外开放力度。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吸引外资进入交通领域，全面落实准入前国民待遇加负面清单管理制度。协同推进自由贸易试验区、中国特色自由贸易港建设。鼓励国内交通企业积极参与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“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一带一路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”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沿线交通基础设施建设和国际运输市场合作，打造世界一流交通企业。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t xml:space="preserve">　　（三）深化交通国际合作。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提升国际合作深度与广度，形成国家、社会、企业多层次合作渠道。拓展国际合作平台，积极打造交通新平台，吸引重要交通国际组织来华落驻。积极推动全球交通治理体系建设与变革，促进交通运输政策、规则、制度、技术、标准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“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引进来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”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和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“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走出去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”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，积极参与交通国际组织事务框架下规则、标准制定修订。提升交通国际话语权和影响力。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color w:val="000066"/>
          <w:kern w:val="0"/>
          <w:sz w:val="24"/>
          <w:szCs w:val="24"/>
        </w:rPr>
        <w:t xml:space="preserve">　　九、人才队伍精良专业、创新奉献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t xml:space="preserve">　　（一）培育高水平交通科技人才。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坚持高精尖缺导向，培养一批具有国际水平的战略科技人才、科技领军人才、青年科技人才和创新团队，培养交通一线创新人才，支持各领域各学科人才进入交通相关产业行业。推进交通高端智库建设，完善专家工作体系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t xml:space="preserve">　　（二）打造素质优良的交通劳动者大军。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弘扬劳模精神和工匠精神，造就一支素质优良的知识型、技能型、创新型劳动者大军。大力培养支撑中国制造、中国创造的交通技术技能人才队伍，构建适应交通发展需要的现代职业教育体系。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t xml:space="preserve">　　（三）建设高素质专业化交通干部队伍。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落实建设高素质专业化干部队伍要求，打造一支忠诚干净担当的高素质干部队伍。注重专业能力培养，增强干部队伍适应现代综合交通运输发展要求的能力。加强优秀年轻干部队伍建设，加强国际交通组织人才培养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color w:val="000066"/>
          <w:kern w:val="0"/>
          <w:sz w:val="24"/>
          <w:szCs w:val="24"/>
        </w:rPr>
        <w:t xml:space="preserve">　　十、完善治理体系，提升治理能力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t xml:space="preserve">　　（一）深化行业改革。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坚持法治引领，完善综合交通法规体系，推动重点领域法律法规制定修订。不断深化铁路、公路、航道、空域管理体制改革，建立健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lastRenderedPageBreak/>
        <w:t>全适应综合交通一体化发展的体制机制。推动国家铁路企业股份制改造、邮政企业混合所有制改革，支持民营企业健康发展。统筹制定交通发展战略、规划和政策，加快建设现代化综合交通体系。强化规划协同，实现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“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多规合一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”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、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“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多规融合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”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t xml:space="preserve">　　（二）优化营商环境。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健全市场治理规则，深入推进简政放权，破除区域壁垒，防止市场垄断，完善运输价格形成机制，构建统一开放、竞争有序的现代交通市场体系。全面实施市场准入负面清单制度，构建以信用为基础的新型监管机制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t xml:space="preserve">　　（三）扩大社会参与。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健全公共决策机制，实行依法决策、民主决策。鼓励交通行业组织积极参与行业治理，引导社会组织依法自治、规范自律，拓宽公众参与交通治理渠道。推动政府信息公开，建立健全公共监督机制。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t xml:space="preserve">　　（四）培育交通文明。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推进优秀交通文化传承创新，加强重要交通遗迹遗存、现代交通重大工程的保护利用和精神挖掘，讲好中国交通故事。弘扬以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“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两路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”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精神、青藏铁路精神、民航英雄机组等为代表的交通精神，增强行业凝聚力和战斗力。全方位提升交通参与者文明素养，引导文明出行，营造文明交通环境，推动全社会交通文明程度大幅提升。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color w:val="000066"/>
          <w:kern w:val="0"/>
          <w:sz w:val="24"/>
          <w:szCs w:val="24"/>
        </w:rPr>
        <w:t xml:space="preserve">　　十一、保障措施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t xml:space="preserve">　　（一）加强党的领导。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坚持党的全面领导，充分发挥党总揽全局、协调各方的作用。建立统筹协调的交通强国建设实施工作机制，强化部门协同、上下联动、军地互动，整体有序推进交通强国建设工作。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t xml:space="preserve">　　（二）加强资金保障。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深化交通投融资改革，增强可持续发展能力，完善政府主导、分级负责、多元筹资、风险可控的资金保障和运行管理体制。建立健全中央和地方各级财政投入保障制度，鼓励采用多元化市场融资方式拓宽融资渠道，积极引导社会资本参与交通强国建设，强化风险防控机制建设。</w:t>
      </w:r>
    </w:p>
    <w:p w:rsidR="00876817" w:rsidRDefault="00876817" w:rsidP="00876817">
      <w:pPr>
        <w:widowControl/>
        <w:shd w:val="clear" w:color="auto" w:fill="FFFFFF"/>
        <w:spacing w:before="240" w:after="240" w:line="450" w:lineRule="atLeast"/>
        <w:ind w:firstLine="495"/>
        <w:jc w:val="left"/>
        <w:textAlignment w:val="center"/>
        <w:rPr>
          <w:rFonts w:ascii="Arial" w:eastAsia="宋体" w:hAnsi="Arial" w:cs="Arial" w:hint="eastAsia"/>
          <w:color w:val="000066"/>
          <w:kern w:val="0"/>
          <w:sz w:val="24"/>
          <w:szCs w:val="24"/>
        </w:rPr>
      </w:pPr>
      <w:r w:rsidRPr="00876817">
        <w:rPr>
          <w:rFonts w:ascii="Arial" w:eastAsia="宋体" w:hAnsi="Arial" w:cs="Arial"/>
          <w:b/>
          <w:bCs/>
          <w:i/>
          <w:iCs/>
          <w:color w:val="000066"/>
          <w:kern w:val="0"/>
          <w:sz w:val="24"/>
          <w:szCs w:val="24"/>
        </w:rPr>
        <w:t>（三）加强实施管理。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t>各地区各部门要提高对交通强国建设重大意义的认识，科学制定配套政策和配置公共资源，促进自然资源、环保、财税、金融、投资、产业、贸易等政策与交通强国建设相关政策协同，部署若干重大工程、重大项目，合理规划交通强国建设进程。鼓励有条件的地方和企业在交通强国建设中先行先</w:t>
      </w:r>
      <w:r w:rsidRPr="00876817">
        <w:rPr>
          <w:rFonts w:ascii="Arial" w:eastAsia="宋体" w:hAnsi="Arial" w:cs="Arial"/>
          <w:color w:val="000066"/>
          <w:kern w:val="0"/>
          <w:sz w:val="24"/>
          <w:szCs w:val="24"/>
        </w:rPr>
        <w:lastRenderedPageBreak/>
        <w:t>试。交通运输部要会同有关部门加强跟踪分析和督促指导，建立交通强国评价指标体系，重大事项及时向党中央、国务院报告。</w:t>
      </w:r>
    </w:p>
    <w:p w:rsidR="00876817" w:rsidRDefault="00876817" w:rsidP="00876817">
      <w:pPr>
        <w:widowControl/>
        <w:shd w:val="clear" w:color="auto" w:fill="FFFFFF"/>
        <w:spacing w:before="240" w:after="240" w:line="450" w:lineRule="atLeast"/>
        <w:ind w:firstLine="495"/>
        <w:jc w:val="left"/>
        <w:textAlignment w:val="center"/>
        <w:rPr>
          <w:rFonts w:ascii="Arial" w:eastAsia="宋体" w:hAnsi="Arial" w:cs="Arial" w:hint="eastAsia"/>
          <w:color w:val="000066"/>
          <w:kern w:val="0"/>
          <w:sz w:val="24"/>
          <w:szCs w:val="24"/>
        </w:rPr>
      </w:pPr>
    </w:p>
    <w:p w:rsidR="00876817" w:rsidRDefault="00876817" w:rsidP="00876817">
      <w:pPr>
        <w:widowControl/>
        <w:shd w:val="clear" w:color="auto" w:fill="FFFFFF"/>
        <w:spacing w:before="240" w:after="240" w:line="450" w:lineRule="atLeast"/>
        <w:ind w:firstLine="495"/>
        <w:jc w:val="left"/>
        <w:textAlignment w:val="center"/>
        <w:rPr>
          <w:rFonts w:ascii="Arial" w:eastAsia="宋体" w:hAnsi="Arial" w:cs="Arial" w:hint="eastAsia"/>
          <w:color w:val="000066"/>
          <w:kern w:val="0"/>
          <w:sz w:val="24"/>
          <w:szCs w:val="24"/>
        </w:rPr>
      </w:pPr>
    </w:p>
    <w:p w:rsidR="00876817" w:rsidRDefault="00876817" w:rsidP="00876817">
      <w:pPr>
        <w:widowControl/>
        <w:shd w:val="clear" w:color="auto" w:fill="FFFFFF"/>
        <w:spacing w:before="240" w:after="240" w:line="450" w:lineRule="atLeast"/>
        <w:ind w:firstLine="495"/>
        <w:jc w:val="left"/>
        <w:textAlignment w:val="center"/>
        <w:rPr>
          <w:rFonts w:ascii="Arial" w:eastAsia="宋体" w:hAnsi="Arial" w:cs="Arial" w:hint="eastAsia"/>
          <w:color w:val="000066"/>
          <w:kern w:val="0"/>
          <w:sz w:val="24"/>
          <w:szCs w:val="24"/>
        </w:rPr>
      </w:pPr>
    </w:p>
    <w:p w:rsidR="00876817" w:rsidRPr="00876817" w:rsidRDefault="00876817" w:rsidP="00876817">
      <w:pPr>
        <w:widowControl/>
        <w:shd w:val="clear" w:color="auto" w:fill="EAEAEA"/>
        <w:jc w:val="center"/>
        <w:rPr>
          <w:rFonts w:ascii="Arial" w:eastAsia="宋体" w:hAnsi="Arial" w:cs="Arial"/>
          <w:color w:val="000066"/>
          <w:kern w:val="0"/>
          <w:sz w:val="18"/>
          <w:szCs w:val="18"/>
        </w:rPr>
      </w:pPr>
      <w:r>
        <w:rPr>
          <w:rFonts w:ascii="Arial" w:eastAsia="宋体" w:hAnsi="Arial" w:cs="Arial"/>
          <w:color w:val="000066"/>
          <w:kern w:val="0"/>
          <w:sz w:val="18"/>
          <w:szCs w:val="18"/>
        </w:rPr>
        <w:t>来源：新华社</w:t>
      </w:r>
    </w:p>
    <w:p w:rsidR="00876817" w:rsidRPr="00876817" w:rsidRDefault="00876817" w:rsidP="00876817">
      <w:pPr>
        <w:widowControl/>
        <w:shd w:val="clear" w:color="auto" w:fill="FFFFFF"/>
        <w:spacing w:before="240" w:after="240" w:line="450" w:lineRule="atLeast"/>
        <w:ind w:firstLine="495"/>
        <w:jc w:val="left"/>
        <w:textAlignment w:val="center"/>
        <w:rPr>
          <w:rFonts w:ascii="Arial" w:eastAsia="宋体" w:hAnsi="Arial" w:cs="Arial"/>
          <w:color w:val="000066"/>
          <w:kern w:val="0"/>
          <w:sz w:val="24"/>
          <w:szCs w:val="24"/>
        </w:rPr>
      </w:pPr>
    </w:p>
    <w:p w:rsidR="0041444F" w:rsidRPr="00876817" w:rsidRDefault="0041444F"/>
    <w:sectPr w:rsidR="0041444F" w:rsidRPr="00876817" w:rsidSect="0041444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0A5" w:rsidRDefault="006A70A5" w:rsidP="00876817">
      <w:r>
        <w:separator/>
      </w:r>
    </w:p>
  </w:endnote>
  <w:endnote w:type="continuationSeparator" w:id="1">
    <w:p w:rsidR="006A70A5" w:rsidRDefault="006A70A5" w:rsidP="00876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84142"/>
      <w:docPartObj>
        <w:docPartGallery w:val="Page Numbers (Bottom of Page)"/>
        <w:docPartUnique/>
      </w:docPartObj>
    </w:sdtPr>
    <w:sdtContent>
      <w:p w:rsidR="00876817" w:rsidRDefault="00876817">
        <w:pPr>
          <w:pStyle w:val="a7"/>
          <w:jc w:val="center"/>
        </w:pPr>
        <w:fldSimple w:instr=" PAGE   \* MERGEFORMAT ">
          <w:r w:rsidRPr="00876817">
            <w:rPr>
              <w:noProof/>
              <w:lang w:val="zh-CN"/>
            </w:rPr>
            <w:t>1</w:t>
          </w:r>
        </w:fldSimple>
      </w:p>
    </w:sdtContent>
  </w:sdt>
  <w:p w:rsidR="00876817" w:rsidRDefault="008768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0A5" w:rsidRDefault="006A70A5" w:rsidP="00876817">
      <w:r>
        <w:separator/>
      </w:r>
    </w:p>
  </w:footnote>
  <w:footnote w:type="continuationSeparator" w:id="1">
    <w:p w:rsidR="006A70A5" w:rsidRDefault="006A70A5" w:rsidP="008768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817"/>
    <w:rsid w:val="0041444F"/>
    <w:rsid w:val="006A70A5"/>
    <w:rsid w:val="0087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8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76817"/>
    <w:rPr>
      <w:b/>
      <w:bCs/>
    </w:rPr>
  </w:style>
  <w:style w:type="character" w:styleId="a5">
    <w:name w:val="Emphasis"/>
    <w:basedOn w:val="a0"/>
    <w:uiPriority w:val="20"/>
    <w:qFormat/>
    <w:rsid w:val="00876817"/>
    <w:rPr>
      <w:i/>
      <w:iCs/>
    </w:rPr>
  </w:style>
  <w:style w:type="paragraph" w:styleId="a6">
    <w:name w:val="header"/>
    <w:basedOn w:val="a"/>
    <w:link w:val="Char"/>
    <w:uiPriority w:val="99"/>
    <w:semiHidden/>
    <w:unhideWhenUsed/>
    <w:rsid w:val="00876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7681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76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768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1025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倪治强</dc:creator>
  <cp:lastModifiedBy>倪治强</cp:lastModifiedBy>
  <cp:revision>2</cp:revision>
  <dcterms:created xsi:type="dcterms:W3CDTF">2019-09-20T06:14:00Z</dcterms:created>
  <dcterms:modified xsi:type="dcterms:W3CDTF">2019-09-20T06:16:00Z</dcterms:modified>
</cp:coreProperties>
</file>