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3D" w:rsidRPr="0083073D" w:rsidRDefault="0083073D" w:rsidP="0083073D">
      <w:pPr>
        <w:widowControl/>
        <w:shd w:val="clear" w:color="auto" w:fill="FFFFFF"/>
        <w:spacing w:line="480" w:lineRule="atLeast"/>
        <w:jc w:val="center"/>
        <w:rPr>
          <w:rFonts w:ascii="Arial" w:eastAsia="宋体" w:hAnsi="Arial" w:cs="Arial"/>
          <w:color w:val="116CD2"/>
          <w:kern w:val="0"/>
          <w:sz w:val="39"/>
          <w:szCs w:val="39"/>
        </w:rPr>
      </w:pPr>
      <w:r w:rsidRPr="0083073D">
        <w:rPr>
          <w:rFonts w:ascii="Arial" w:eastAsia="宋体" w:hAnsi="Arial" w:cs="Arial"/>
          <w:color w:val="116CD2"/>
          <w:kern w:val="0"/>
          <w:sz w:val="39"/>
          <w:szCs w:val="39"/>
        </w:rPr>
        <w:t>交通运输部关于修改《港口和船舶岸电管理办法》的决定</w:t>
      </w:r>
    </w:p>
    <w:p w:rsidR="0083073D" w:rsidRPr="0083073D" w:rsidRDefault="0083073D" w:rsidP="0083073D">
      <w:pPr>
        <w:widowControl/>
        <w:shd w:val="clear" w:color="auto" w:fill="EAEAEA"/>
        <w:jc w:val="right"/>
        <w:rPr>
          <w:rFonts w:ascii="Arial" w:eastAsia="宋体" w:hAnsi="Arial" w:cs="Arial"/>
          <w:color w:val="000066"/>
          <w:kern w:val="0"/>
          <w:sz w:val="18"/>
          <w:szCs w:val="18"/>
        </w:rPr>
      </w:pPr>
      <w:r w:rsidRPr="0083073D">
        <w:rPr>
          <w:rFonts w:ascii="Arial" w:eastAsia="宋体" w:hAnsi="Arial" w:cs="Arial"/>
          <w:color w:val="000066"/>
          <w:kern w:val="0"/>
          <w:sz w:val="18"/>
          <w:szCs w:val="18"/>
        </w:rPr>
        <w:t xml:space="preserve">　来源：交通运输部　发布时间：</w:t>
      </w:r>
      <w:r w:rsidRPr="0083073D">
        <w:rPr>
          <w:rFonts w:ascii="Arial" w:eastAsia="宋体" w:hAnsi="Arial" w:cs="Arial"/>
          <w:color w:val="000066"/>
          <w:kern w:val="0"/>
          <w:sz w:val="18"/>
          <w:szCs w:val="18"/>
        </w:rPr>
        <w:t>2021-09-26</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交通运输部关于修改《港口和船舶岸电管理办法》的决定（中华人民共和国交通运输部令</w:t>
      </w:r>
      <w:r w:rsidRPr="0083073D">
        <w:rPr>
          <w:rFonts w:ascii="Arial" w:eastAsia="宋体" w:hAnsi="Arial" w:cs="Arial"/>
          <w:color w:val="000066"/>
          <w:kern w:val="0"/>
          <w:sz w:val="24"/>
          <w:szCs w:val="24"/>
        </w:rPr>
        <w:t>2021</w:t>
      </w:r>
      <w:r w:rsidRPr="0083073D">
        <w:rPr>
          <w:rFonts w:ascii="Arial" w:eastAsia="宋体" w:hAnsi="Arial" w:cs="Arial"/>
          <w:color w:val="000066"/>
          <w:kern w:val="0"/>
          <w:sz w:val="24"/>
          <w:szCs w:val="24"/>
        </w:rPr>
        <w:t>年第</w:t>
      </w:r>
      <w:r w:rsidRPr="0083073D">
        <w:rPr>
          <w:rFonts w:ascii="Arial" w:eastAsia="宋体" w:hAnsi="Arial" w:cs="Arial"/>
          <w:color w:val="000066"/>
          <w:kern w:val="0"/>
          <w:sz w:val="24"/>
          <w:szCs w:val="24"/>
        </w:rPr>
        <w:t>31</w:t>
      </w:r>
      <w:r w:rsidRPr="0083073D">
        <w:rPr>
          <w:rFonts w:ascii="Arial" w:eastAsia="宋体" w:hAnsi="Arial" w:cs="Arial"/>
          <w:color w:val="000066"/>
          <w:kern w:val="0"/>
          <w:sz w:val="24"/>
          <w:szCs w:val="24"/>
        </w:rPr>
        <w:t>号）</w:t>
      </w:r>
      <w:r w:rsidRPr="0083073D">
        <w:rPr>
          <w:rFonts w:ascii="Arial" w:eastAsia="宋体" w:hAnsi="Arial" w:cs="Arial"/>
          <w:color w:val="000066"/>
          <w:kern w:val="0"/>
          <w:sz w:val="24"/>
          <w:szCs w:val="24"/>
        </w:rPr>
        <w:t xml:space="preserve"> </w:t>
      </w:r>
      <w:r w:rsidRPr="0083073D">
        <w:rPr>
          <w:rFonts w:ascii="Arial" w:eastAsia="宋体" w:hAnsi="Arial" w:cs="Arial"/>
          <w:color w:val="000066"/>
          <w:kern w:val="0"/>
          <w:sz w:val="24"/>
          <w:szCs w:val="24"/>
        </w:rPr>
        <w:t>《交通运输部关于修改〈港口和船舶岸电管理办法〉的决定》已于</w:t>
      </w:r>
      <w:r w:rsidRPr="0083073D">
        <w:rPr>
          <w:rFonts w:ascii="Arial" w:eastAsia="宋体" w:hAnsi="Arial" w:cs="Arial"/>
          <w:color w:val="000066"/>
          <w:kern w:val="0"/>
          <w:sz w:val="24"/>
          <w:szCs w:val="24"/>
        </w:rPr>
        <w:t>2021</w:t>
      </w:r>
      <w:r w:rsidRPr="0083073D">
        <w:rPr>
          <w:rFonts w:ascii="Arial" w:eastAsia="宋体" w:hAnsi="Arial" w:cs="Arial"/>
          <w:color w:val="000066"/>
          <w:kern w:val="0"/>
          <w:sz w:val="24"/>
          <w:szCs w:val="24"/>
        </w:rPr>
        <w:t>年</w:t>
      </w:r>
      <w:r w:rsidRPr="0083073D">
        <w:rPr>
          <w:rFonts w:ascii="Arial" w:eastAsia="宋体" w:hAnsi="Arial" w:cs="Arial"/>
          <w:color w:val="000066"/>
          <w:kern w:val="0"/>
          <w:sz w:val="24"/>
          <w:szCs w:val="24"/>
        </w:rPr>
        <w:t>9</w:t>
      </w:r>
      <w:r w:rsidRPr="0083073D">
        <w:rPr>
          <w:rFonts w:ascii="Arial" w:eastAsia="宋体" w:hAnsi="Arial" w:cs="Arial"/>
          <w:color w:val="000066"/>
          <w:kern w:val="0"/>
          <w:sz w:val="24"/>
          <w:szCs w:val="24"/>
        </w:rPr>
        <w:t>月</w:t>
      </w:r>
      <w:r w:rsidRPr="0083073D">
        <w:rPr>
          <w:rFonts w:ascii="Arial" w:eastAsia="宋体" w:hAnsi="Arial" w:cs="Arial"/>
          <w:color w:val="000066"/>
          <w:kern w:val="0"/>
          <w:sz w:val="24"/>
          <w:szCs w:val="24"/>
        </w:rPr>
        <w:t>7</w:t>
      </w:r>
      <w:r w:rsidRPr="0083073D">
        <w:rPr>
          <w:rFonts w:ascii="Arial" w:eastAsia="宋体" w:hAnsi="Arial" w:cs="Arial"/>
          <w:color w:val="000066"/>
          <w:kern w:val="0"/>
          <w:sz w:val="24"/>
          <w:szCs w:val="24"/>
        </w:rPr>
        <w:t>日经第</w:t>
      </w:r>
      <w:r w:rsidRPr="0083073D">
        <w:rPr>
          <w:rFonts w:ascii="Arial" w:eastAsia="宋体" w:hAnsi="Arial" w:cs="Arial"/>
          <w:color w:val="000066"/>
          <w:kern w:val="0"/>
          <w:sz w:val="24"/>
          <w:szCs w:val="24"/>
        </w:rPr>
        <w:t>24</w:t>
      </w:r>
      <w:r w:rsidRPr="0083073D">
        <w:rPr>
          <w:rFonts w:ascii="Arial" w:eastAsia="宋体" w:hAnsi="Arial" w:cs="Arial"/>
          <w:color w:val="000066"/>
          <w:kern w:val="0"/>
          <w:sz w:val="24"/>
          <w:szCs w:val="24"/>
        </w:rPr>
        <w:t>次部务会议通过，现予公布，自公布之日起施行。</w:t>
      </w:r>
    </w:p>
    <w:p w:rsidR="0083073D" w:rsidRPr="0083073D" w:rsidRDefault="0083073D" w:rsidP="0083073D">
      <w:pPr>
        <w:widowControl/>
        <w:shd w:val="clear" w:color="auto" w:fill="FFFFFF"/>
        <w:spacing w:before="240" w:after="240" w:line="450" w:lineRule="atLeast"/>
        <w:jc w:val="righ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部长</w:t>
      </w:r>
      <w:r w:rsidRPr="0083073D">
        <w:rPr>
          <w:rFonts w:ascii="Arial" w:eastAsia="宋体" w:hAnsi="Arial" w:cs="Arial"/>
          <w:color w:val="000066"/>
          <w:kern w:val="0"/>
          <w:sz w:val="24"/>
          <w:szCs w:val="24"/>
        </w:rPr>
        <w:t xml:space="preserve"> </w:t>
      </w:r>
      <w:r w:rsidRPr="0083073D">
        <w:rPr>
          <w:rFonts w:ascii="Arial" w:eastAsia="宋体" w:hAnsi="Arial" w:cs="Arial"/>
          <w:color w:val="000066"/>
          <w:kern w:val="0"/>
          <w:sz w:val="24"/>
          <w:szCs w:val="24"/>
        </w:rPr>
        <w:t>李小鹏</w:t>
      </w:r>
    </w:p>
    <w:p w:rsidR="0083073D" w:rsidRPr="0083073D" w:rsidRDefault="0083073D" w:rsidP="0083073D">
      <w:pPr>
        <w:widowControl/>
        <w:shd w:val="clear" w:color="auto" w:fill="FFFFFF"/>
        <w:spacing w:before="240" w:after="240" w:line="450" w:lineRule="atLeast"/>
        <w:jc w:val="righ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2021</w:t>
      </w:r>
      <w:r w:rsidRPr="0083073D">
        <w:rPr>
          <w:rFonts w:ascii="Arial" w:eastAsia="宋体" w:hAnsi="Arial" w:cs="Arial"/>
          <w:color w:val="000066"/>
          <w:kern w:val="0"/>
          <w:sz w:val="24"/>
          <w:szCs w:val="24"/>
        </w:rPr>
        <w:t>年</w:t>
      </w:r>
      <w:r w:rsidRPr="0083073D">
        <w:rPr>
          <w:rFonts w:ascii="Arial" w:eastAsia="宋体" w:hAnsi="Arial" w:cs="Arial"/>
          <w:color w:val="000066"/>
          <w:kern w:val="0"/>
          <w:sz w:val="24"/>
          <w:szCs w:val="24"/>
        </w:rPr>
        <w:t>9</w:t>
      </w:r>
      <w:r w:rsidRPr="0083073D">
        <w:rPr>
          <w:rFonts w:ascii="Arial" w:eastAsia="宋体" w:hAnsi="Arial" w:cs="Arial"/>
          <w:color w:val="000066"/>
          <w:kern w:val="0"/>
          <w:sz w:val="24"/>
          <w:szCs w:val="24"/>
        </w:rPr>
        <w:t>月</w:t>
      </w:r>
      <w:r w:rsidRPr="0083073D">
        <w:rPr>
          <w:rFonts w:ascii="Arial" w:eastAsia="宋体" w:hAnsi="Arial" w:cs="Arial"/>
          <w:color w:val="000066"/>
          <w:kern w:val="0"/>
          <w:sz w:val="24"/>
          <w:szCs w:val="24"/>
        </w:rPr>
        <w:t>13</w:t>
      </w:r>
      <w:r w:rsidRPr="0083073D">
        <w:rPr>
          <w:rFonts w:ascii="Arial" w:eastAsia="宋体" w:hAnsi="Arial" w:cs="Arial"/>
          <w:color w:val="000066"/>
          <w:kern w:val="0"/>
          <w:sz w:val="24"/>
          <w:szCs w:val="24"/>
        </w:rPr>
        <w:t>日</w:t>
      </w:r>
    </w:p>
    <w:p w:rsidR="0083073D" w:rsidRPr="0083073D" w:rsidRDefault="0083073D" w:rsidP="0083073D">
      <w:pPr>
        <w:widowControl/>
        <w:shd w:val="clear" w:color="auto" w:fill="FFFFFF"/>
        <w:spacing w:before="240" w:after="240" w:line="450" w:lineRule="atLeast"/>
        <w:jc w:val="center"/>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交通运输部关于修改《港口和船舶岸电管理办法》的决定</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交通运输部决定对《港口和船舶岸电管理办法》（交通运输部令</w:t>
      </w:r>
      <w:r w:rsidRPr="0083073D">
        <w:rPr>
          <w:rFonts w:ascii="Arial" w:eastAsia="宋体" w:hAnsi="Arial" w:cs="Arial"/>
          <w:color w:val="000066"/>
          <w:kern w:val="0"/>
          <w:sz w:val="24"/>
          <w:szCs w:val="24"/>
        </w:rPr>
        <w:t>2019</w:t>
      </w:r>
      <w:r w:rsidRPr="0083073D">
        <w:rPr>
          <w:rFonts w:ascii="Arial" w:eastAsia="宋体" w:hAnsi="Arial" w:cs="Arial"/>
          <w:color w:val="000066"/>
          <w:kern w:val="0"/>
          <w:sz w:val="24"/>
          <w:szCs w:val="24"/>
        </w:rPr>
        <w:t>年第</w:t>
      </w:r>
      <w:r w:rsidRPr="0083073D">
        <w:rPr>
          <w:rFonts w:ascii="Arial" w:eastAsia="宋体" w:hAnsi="Arial" w:cs="Arial"/>
          <w:color w:val="000066"/>
          <w:kern w:val="0"/>
          <w:sz w:val="24"/>
          <w:szCs w:val="24"/>
        </w:rPr>
        <w:t>45</w:t>
      </w:r>
      <w:r w:rsidRPr="0083073D">
        <w:rPr>
          <w:rFonts w:ascii="Arial" w:eastAsia="宋体" w:hAnsi="Arial" w:cs="Arial"/>
          <w:color w:val="000066"/>
          <w:kern w:val="0"/>
          <w:sz w:val="24"/>
          <w:szCs w:val="24"/>
        </w:rPr>
        <w:t>号）作如下修改：</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一、将第一条修改为：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为减少船舶靠港期间大气污染物排放，保障船舶靠港安全规范使用岸电，依据《中华人民共和国港口法》《中华人民共和国大气污染防治法》《中华人民共和国长江保护法》等法规的规定，制定本办法。</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二、将第三条第三款修改为：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各级海事管理机构按照职责，负责船舶受电设施安装和船舶使用岸电情况的监督管理。</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三、将第四条修改为：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地方各级交通运输（港口）主管部门应当积极争取地方人民政府出台资金补贴、电价优惠等扶持政策，支持码头岸电设施改造和船舶受电设施安装，鼓励船舶靠港使用岸电。</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四、第六条增加一款，作为第二款：</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长江流域的港口经营人应当按照所在地人民政府制定的港口岸电设施建设和改造计划实施建设和改造。</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五、第十条增加一款，作为第二款：</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长江流域的水路运输经营者应当按照所在地人民政府制定的船舶受电设施建设和改造计划实施建设和改造。</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lastRenderedPageBreak/>
        <w:t xml:space="preserve">　　六、将第十三条第一款修改为：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港口经营人、岸电供电企业应当将码头岸电设施主要技术参数、检测情况等信息通过网站等渠道向社会公开、及时更新，并报送所在地交通运输（港口）主管部门。</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七、将第二十二条第一款修改为：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码头岸电设施建设和检测，港口经营人、岸电供电企业向靠港船舶提供岸电服务以及水路运输经营者组织实施船舶受电设施安装等情况由市、县级交通运输（港口）主管部门监督检查。船舶发现港口经营人、岸电供电企业未按照规定提供岸电服务的，应当及时报告所在地交通运输（港口）主管部门。</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第二款修改为：</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海事管理机构可以通过文件查阅等方式，核查船舶受电设施满足本办法和船舶法定检验技术规则要求、船舶使用岸电等情况。港口经营人、岸电供电企业发现船舶未按照规定使用岸电的，应当及时报告海事管理机构。</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八、第二十四条增加一款，作为第二款：</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长江流域的水路运输经营者未按照第十条规定实施船舶受电设施建设和改造的，由注册地交通运输主管部门责令限期改正。</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九、第二十五条增加三款，作为第二款、第三款、第四款：</w:t>
      </w:r>
      <w:r w:rsidRPr="0083073D">
        <w:rPr>
          <w:rFonts w:ascii="Arial" w:eastAsia="宋体" w:hAnsi="Arial" w:cs="Arial"/>
          <w:color w:val="000066"/>
          <w:kern w:val="0"/>
          <w:sz w:val="24"/>
          <w:szCs w:val="24"/>
        </w:rPr>
        <w:t>“</w:t>
      </w:r>
      <w:r w:rsidRPr="0083073D">
        <w:rPr>
          <w:rFonts w:ascii="Arial" w:eastAsia="宋体" w:hAnsi="Arial" w:cs="Arial"/>
          <w:color w:val="000066"/>
          <w:kern w:val="0"/>
          <w:sz w:val="24"/>
          <w:szCs w:val="24"/>
        </w:rPr>
        <w:t>在长江流域港口靠泊的船舶违反本办法第十一条第一款规定的，由海事管理机构责令停止违法行为，给予警告，并视情节轻重处以罚款：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（一）船舶发电机组总额定功率</w:t>
      </w:r>
      <w:r w:rsidRPr="0083073D">
        <w:rPr>
          <w:rFonts w:ascii="Arial" w:eastAsia="宋体" w:hAnsi="Arial" w:cs="Arial"/>
          <w:color w:val="000066"/>
          <w:kern w:val="0"/>
          <w:sz w:val="24"/>
          <w:szCs w:val="24"/>
        </w:rPr>
        <w:t>2000</w:t>
      </w:r>
      <w:r w:rsidRPr="0083073D">
        <w:rPr>
          <w:rFonts w:ascii="Arial" w:eastAsia="宋体" w:hAnsi="Arial" w:cs="Arial"/>
          <w:color w:val="000066"/>
          <w:kern w:val="0"/>
          <w:sz w:val="24"/>
          <w:szCs w:val="24"/>
        </w:rPr>
        <w:t>千瓦（含）以下的，处一万元以上二万元以下罚款；情节严重的，处十万元以上二十万元以下罚款；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（二）船舶发电机组总额定功率</w:t>
      </w:r>
      <w:r w:rsidRPr="0083073D">
        <w:rPr>
          <w:rFonts w:ascii="Arial" w:eastAsia="宋体" w:hAnsi="Arial" w:cs="Arial"/>
          <w:color w:val="000066"/>
          <w:kern w:val="0"/>
          <w:sz w:val="24"/>
          <w:szCs w:val="24"/>
        </w:rPr>
        <w:t>2000</w:t>
      </w:r>
      <w:r w:rsidRPr="0083073D">
        <w:rPr>
          <w:rFonts w:ascii="Arial" w:eastAsia="宋体" w:hAnsi="Arial" w:cs="Arial"/>
          <w:color w:val="000066"/>
          <w:kern w:val="0"/>
          <w:sz w:val="24"/>
          <w:szCs w:val="24"/>
        </w:rPr>
        <w:t>千瓦以上</w:t>
      </w:r>
      <w:r w:rsidRPr="0083073D">
        <w:rPr>
          <w:rFonts w:ascii="Arial" w:eastAsia="宋体" w:hAnsi="Arial" w:cs="Arial"/>
          <w:color w:val="000066"/>
          <w:kern w:val="0"/>
          <w:sz w:val="24"/>
          <w:szCs w:val="24"/>
        </w:rPr>
        <w:t>8000</w:t>
      </w:r>
      <w:r w:rsidRPr="0083073D">
        <w:rPr>
          <w:rFonts w:ascii="Arial" w:eastAsia="宋体" w:hAnsi="Arial" w:cs="Arial"/>
          <w:color w:val="000066"/>
          <w:kern w:val="0"/>
          <w:sz w:val="24"/>
          <w:szCs w:val="24"/>
        </w:rPr>
        <w:t>千瓦（含）以下的，处二万元以上五万元以下罚款；情节严重的，处二十万元以上三十万元以下罚款；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（三）船舶发电机组总额定功率</w:t>
      </w:r>
      <w:r w:rsidRPr="0083073D">
        <w:rPr>
          <w:rFonts w:ascii="Arial" w:eastAsia="宋体" w:hAnsi="Arial" w:cs="Arial"/>
          <w:color w:val="000066"/>
          <w:kern w:val="0"/>
          <w:sz w:val="24"/>
          <w:szCs w:val="24"/>
        </w:rPr>
        <w:t>8000</w:t>
      </w:r>
      <w:r w:rsidRPr="0083073D">
        <w:rPr>
          <w:rFonts w:ascii="Arial" w:eastAsia="宋体" w:hAnsi="Arial" w:cs="Arial"/>
          <w:color w:val="000066"/>
          <w:kern w:val="0"/>
          <w:sz w:val="24"/>
          <w:szCs w:val="24"/>
        </w:rPr>
        <w:t>千瓦以上的，处五万元以上十万元以下罚款；情节严重的，处三十万元以上五十万元以下罚款。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前款所称情节严重，是指船舶靠泊同一港口连续</w:t>
      </w:r>
      <w:r w:rsidRPr="0083073D">
        <w:rPr>
          <w:rFonts w:ascii="Arial" w:eastAsia="宋体" w:hAnsi="Arial" w:cs="Arial"/>
          <w:color w:val="000066"/>
          <w:kern w:val="0"/>
          <w:sz w:val="24"/>
          <w:szCs w:val="24"/>
        </w:rPr>
        <w:t>3</w:t>
      </w:r>
      <w:r w:rsidRPr="0083073D">
        <w:rPr>
          <w:rFonts w:ascii="Arial" w:eastAsia="宋体" w:hAnsi="Arial" w:cs="Arial"/>
          <w:color w:val="000066"/>
          <w:kern w:val="0"/>
          <w:sz w:val="24"/>
          <w:szCs w:val="24"/>
        </w:rPr>
        <w:t>次及以上或者连续</w:t>
      </w:r>
      <w:r w:rsidRPr="0083073D">
        <w:rPr>
          <w:rFonts w:ascii="Arial" w:eastAsia="宋体" w:hAnsi="Arial" w:cs="Arial"/>
          <w:color w:val="000066"/>
          <w:kern w:val="0"/>
          <w:sz w:val="24"/>
          <w:szCs w:val="24"/>
        </w:rPr>
        <w:t>12</w:t>
      </w:r>
      <w:r w:rsidRPr="0083073D">
        <w:rPr>
          <w:rFonts w:ascii="Arial" w:eastAsia="宋体" w:hAnsi="Arial" w:cs="Arial"/>
          <w:color w:val="000066"/>
          <w:kern w:val="0"/>
          <w:sz w:val="24"/>
          <w:szCs w:val="24"/>
        </w:rPr>
        <w:t>个月内累计</w:t>
      </w:r>
      <w:r w:rsidRPr="0083073D">
        <w:rPr>
          <w:rFonts w:ascii="Arial" w:eastAsia="宋体" w:hAnsi="Arial" w:cs="Arial"/>
          <w:color w:val="000066"/>
          <w:kern w:val="0"/>
          <w:sz w:val="24"/>
          <w:szCs w:val="24"/>
        </w:rPr>
        <w:t>6</w:t>
      </w:r>
      <w:r w:rsidRPr="0083073D">
        <w:rPr>
          <w:rFonts w:ascii="Arial" w:eastAsia="宋体" w:hAnsi="Arial" w:cs="Arial"/>
          <w:color w:val="000066"/>
          <w:kern w:val="0"/>
          <w:sz w:val="24"/>
          <w:szCs w:val="24"/>
        </w:rPr>
        <w:t>次及以上未按规定使用岸电，或者船舶受电设施出现故障不及时维修导致</w:t>
      </w:r>
      <w:r w:rsidRPr="0083073D">
        <w:rPr>
          <w:rFonts w:ascii="Arial" w:eastAsia="宋体" w:hAnsi="Arial" w:cs="Arial"/>
          <w:color w:val="000066"/>
          <w:kern w:val="0"/>
          <w:sz w:val="24"/>
          <w:szCs w:val="24"/>
        </w:rPr>
        <w:t>6</w:t>
      </w:r>
      <w:r w:rsidRPr="0083073D">
        <w:rPr>
          <w:rFonts w:ascii="Arial" w:eastAsia="宋体" w:hAnsi="Arial" w:cs="Arial"/>
          <w:color w:val="000066"/>
          <w:kern w:val="0"/>
          <w:sz w:val="24"/>
          <w:szCs w:val="24"/>
        </w:rPr>
        <w:t>个月以上无法正常使用。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lastRenderedPageBreak/>
        <w:t xml:space="preserve">　　初次违法且情节轻微并及时改正的，可以不予行政处罚，由海事管理机构进行教育。</w:t>
      </w:r>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本决定自公布之日起施行。</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《港口和船舶岸电管理办法》根据本决定作相应修改，重新发布。</w:t>
      </w:r>
    </w:p>
    <w:p w:rsidR="0083073D" w:rsidRPr="0083073D" w:rsidRDefault="0083073D" w:rsidP="0083073D">
      <w:pPr>
        <w:widowControl/>
        <w:shd w:val="clear" w:color="auto" w:fill="FFFFFF"/>
        <w:spacing w:before="240" w:after="240" w:line="450" w:lineRule="atLeast"/>
        <w:jc w:val="center"/>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港口和船舶岸电管理办法</w:t>
      </w:r>
    </w:p>
    <w:p w:rsidR="0083073D" w:rsidRPr="0083073D" w:rsidRDefault="0083073D" w:rsidP="0083073D">
      <w:pPr>
        <w:widowControl/>
        <w:shd w:val="clear" w:color="auto" w:fill="FFFFFF"/>
        <w:spacing w:before="240" w:after="240" w:line="450" w:lineRule="atLeast"/>
        <w:jc w:val="center"/>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w:t>
      </w:r>
      <w:r w:rsidRPr="0083073D">
        <w:rPr>
          <w:rFonts w:ascii="Arial" w:eastAsia="宋体" w:hAnsi="Arial" w:cs="Arial"/>
          <w:b/>
          <w:bCs/>
          <w:color w:val="000066"/>
          <w:kern w:val="0"/>
          <w:sz w:val="24"/>
          <w:szCs w:val="24"/>
        </w:rPr>
        <w:t>2019</w:t>
      </w:r>
      <w:r w:rsidRPr="0083073D">
        <w:rPr>
          <w:rFonts w:ascii="Arial" w:eastAsia="宋体" w:hAnsi="Arial" w:cs="Arial"/>
          <w:b/>
          <w:bCs/>
          <w:color w:val="000066"/>
          <w:kern w:val="0"/>
          <w:sz w:val="24"/>
          <w:szCs w:val="24"/>
        </w:rPr>
        <w:t>年</w:t>
      </w:r>
      <w:r w:rsidRPr="0083073D">
        <w:rPr>
          <w:rFonts w:ascii="Arial" w:eastAsia="宋体" w:hAnsi="Arial" w:cs="Arial"/>
          <w:b/>
          <w:bCs/>
          <w:color w:val="000066"/>
          <w:kern w:val="0"/>
          <w:sz w:val="24"/>
          <w:szCs w:val="24"/>
        </w:rPr>
        <w:t>12</w:t>
      </w:r>
      <w:r w:rsidRPr="0083073D">
        <w:rPr>
          <w:rFonts w:ascii="Arial" w:eastAsia="宋体" w:hAnsi="Arial" w:cs="Arial"/>
          <w:b/>
          <w:bCs/>
          <w:color w:val="000066"/>
          <w:kern w:val="0"/>
          <w:sz w:val="24"/>
          <w:szCs w:val="24"/>
        </w:rPr>
        <w:t>月</w:t>
      </w:r>
      <w:r w:rsidRPr="0083073D">
        <w:rPr>
          <w:rFonts w:ascii="Arial" w:eastAsia="宋体" w:hAnsi="Arial" w:cs="Arial"/>
          <w:b/>
          <w:bCs/>
          <w:color w:val="000066"/>
          <w:kern w:val="0"/>
          <w:sz w:val="24"/>
          <w:szCs w:val="24"/>
        </w:rPr>
        <w:t>9</w:t>
      </w:r>
      <w:r w:rsidRPr="0083073D">
        <w:rPr>
          <w:rFonts w:ascii="Arial" w:eastAsia="宋体" w:hAnsi="Arial" w:cs="Arial"/>
          <w:b/>
          <w:bCs/>
          <w:color w:val="000066"/>
          <w:kern w:val="0"/>
          <w:sz w:val="24"/>
          <w:szCs w:val="24"/>
        </w:rPr>
        <w:t>日交通运输部发布</w:t>
      </w:r>
      <w:r w:rsidRPr="0083073D">
        <w:rPr>
          <w:rFonts w:ascii="Arial" w:eastAsia="宋体" w:hAnsi="Arial" w:cs="Arial"/>
          <w:b/>
          <w:bCs/>
          <w:color w:val="000066"/>
          <w:kern w:val="0"/>
          <w:sz w:val="24"/>
          <w:szCs w:val="24"/>
        </w:rPr>
        <w:t xml:space="preserve"> </w:t>
      </w:r>
      <w:r w:rsidRPr="0083073D">
        <w:rPr>
          <w:rFonts w:ascii="Arial" w:eastAsia="宋体" w:hAnsi="Arial" w:cs="Arial"/>
          <w:b/>
          <w:bCs/>
          <w:color w:val="000066"/>
          <w:kern w:val="0"/>
          <w:sz w:val="24"/>
          <w:szCs w:val="24"/>
        </w:rPr>
        <w:t>根据</w:t>
      </w:r>
      <w:r w:rsidRPr="0083073D">
        <w:rPr>
          <w:rFonts w:ascii="Arial" w:eastAsia="宋体" w:hAnsi="Arial" w:cs="Arial"/>
          <w:b/>
          <w:bCs/>
          <w:color w:val="000066"/>
          <w:kern w:val="0"/>
          <w:sz w:val="24"/>
          <w:szCs w:val="24"/>
        </w:rPr>
        <w:t>2021</w:t>
      </w:r>
      <w:r w:rsidRPr="0083073D">
        <w:rPr>
          <w:rFonts w:ascii="Arial" w:eastAsia="宋体" w:hAnsi="Arial" w:cs="Arial"/>
          <w:b/>
          <w:bCs/>
          <w:color w:val="000066"/>
          <w:kern w:val="0"/>
          <w:sz w:val="24"/>
          <w:szCs w:val="24"/>
        </w:rPr>
        <w:t>年</w:t>
      </w:r>
      <w:r w:rsidRPr="0083073D">
        <w:rPr>
          <w:rFonts w:ascii="Arial" w:eastAsia="宋体" w:hAnsi="Arial" w:cs="Arial"/>
          <w:b/>
          <w:bCs/>
          <w:color w:val="000066"/>
          <w:kern w:val="0"/>
          <w:sz w:val="24"/>
          <w:szCs w:val="24"/>
        </w:rPr>
        <w:t>9</w:t>
      </w:r>
      <w:r w:rsidRPr="0083073D">
        <w:rPr>
          <w:rFonts w:ascii="Arial" w:eastAsia="宋体" w:hAnsi="Arial" w:cs="Arial"/>
          <w:b/>
          <w:bCs/>
          <w:color w:val="000066"/>
          <w:kern w:val="0"/>
          <w:sz w:val="24"/>
          <w:szCs w:val="24"/>
        </w:rPr>
        <w:t>月</w:t>
      </w:r>
      <w:r w:rsidRPr="0083073D">
        <w:rPr>
          <w:rFonts w:ascii="Arial" w:eastAsia="宋体" w:hAnsi="Arial" w:cs="Arial"/>
          <w:b/>
          <w:bCs/>
          <w:color w:val="000066"/>
          <w:kern w:val="0"/>
          <w:sz w:val="24"/>
          <w:szCs w:val="24"/>
        </w:rPr>
        <w:t>13</w:t>
      </w:r>
      <w:r w:rsidRPr="0083073D">
        <w:rPr>
          <w:rFonts w:ascii="Arial" w:eastAsia="宋体" w:hAnsi="Arial" w:cs="Arial"/>
          <w:b/>
          <w:bCs/>
          <w:color w:val="000066"/>
          <w:kern w:val="0"/>
          <w:sz w:val="24"/>
          <w:szCs w:val="24"/>
        </w:rPr>
        <w:t>日《交通运输部关于修改〈港口和船舶岸电管理办法〉的决定》修正）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第一章　总</w:t>
      </w:r>
      <w:r w:rsidRPr="0083073D">
        <w:rPr>
          <w:rFonts w:ascii="Arial" w:eastAsia="宋体" w:hAnsi="Arial" w:cs="Arial"/>
          <w:b/>
          <w:bCs/>
          <w:color w:val="000066"/>
          <w:kern w:val="0"/>
          <w:sz w:val="24"/>
          <w:szCs w:val="24"/>
        </w:rPr>
        <w:t xml:space="preserve"> </w:t>
      </w:r>
      <w:r w:rsidRPr="0083073D">
        <w:rPr>
          <w:rFonts w:ascii="Arial" w:eastAsia="宋体" w:hAnsi="Arial" w:cs="Arial"/>
          <w:b/>
          <w:bCs/>
          <w:color w:val="000066"/>
          <w:kern w:val="0"/>
          <w:sz w:val="24"/>
          <w:szCs w:val="24"/>
        </w:rPr>
        <w:t>则</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第一条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为减少船舶靠港期间大气污染物排放，保障船舶靠港安全规范使用岸电，依据《中华人民共和国港口法》《中华人民共和国大气污染防治法》《中华人民共和国长江保护法》等法规的规定，制定本办法。</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中华人民共和国境内港口和船舶岸电建设、使用及有关活动，应当遵守本办法。</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交通运输部主管全国港口和船舶岸电建设、使用等工作。</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县级以上地方人民政府交通运输（港口）主管部门按照职责负责辖区水路运输经营者船舶受电设施安装、码头岸电设施建设以及向靠港船舶提供岸电服务等活动的监督管理。</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各级海事管理机构按照职责，负责船舶受电设施安装和船舶使用岸电情况的监督管理。</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第四条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地方各级交通运输（港口）主管部门应当积极争取地方人民政府出台资金补贴、电价优惠等扶持政策，支持码头岸电设施改造和船舶受电设施安装，鼓励船舶靠港使用岸电。</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第二章　建设和使用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lastRenderedPageBreak/>
        <w:t xml:space="preserve">　　第五条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码头工程项目单位应当按照法律法规和强制性标准等要求，对新建、改建、扩建码头工程（油气化工码头除外）同步设计、建设岸电设施。</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第六条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港口经营人应当按照法律法规、强制性标准和国家有关规定，对已建码头（油气化工码头除外）逐步实施岸电设施改造。</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长江流域的港口经营人应当按照所在地人民政府制定的港口岸电设施建设和改造计划实施建设和改造。</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第七条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码头岸电设施的供电能力应当与靠泊船舶的用电需求相适应。</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第八条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为保障船舶靠港使用岸电安全，码头工程项目单位或者港口经营人在岸电设施投入使用前，应当按照相关强制性标准组织对岸电设施检测，其中高压岸电设施投入使用前，应当由具备相应能力的专业机构检测。</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第九条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新建和已建中国籍船舶受电设施安装应当符合船舶法定检验技术规则，投入使用前需经船舶检验机构检验合格。</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在船舶大气污染排放控制区靠泊的中国籍船舶，需要满足大气污染排放要求加装船舶受电设施的，相应水路运输经营者应当制定船舶受电设施安装计划并组织实施。</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长江流域的水路运输经营者应当按照所在地人民政府制定的船舶受电设施建设和改造计划实施建设和改造。</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第十一条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具备受电设施的船舶（液货船除外），在沿海港口具备岸电供应能力的泊位靠泊超过</w:t>
      </w:r>
      <w:r w:rsidRPr="0083073D">
        <w:rPr>
          <w:rFonts w:ascii="Arial" w:eastAsia="宋体" w:hAnsi="Arial" w:cs="Arial"/>
          <w:color w:val="000066"/>
          <w:kern w:val="0"/>
          <w:sz w:val="24"/>
          <w:szCs w:val="24"/>
        </w:rPr>
        <w:t>3</w:t>
      </w:r>
      <w:r w:rsidRPr="0083073D">
        <w:rPr>
          <w:rFonts w:ascii="Arial" w:eastAsia="宋体" w:hAnsi="Arial" w:cs="Arial"/>
          <w:color w:val="000066"/>
          <w:kern w:val="0"/>
          <w:sz w:val="24"/>
          <w:szCs w:val="24"/>
        </w:rPr>
        <w:t>小时，在内河港口具备岸电供应能力的泊位靠泊超过</w:t>
      </w:r>
      <w:r w:rsidRPr="0083073D">
        <w:rPr>
          <w:rFonts w:ascii="Arial" w:eastAsia="宋体" w:hAnsi="Arial" w:cs="Arial"/>
          <w:color w:val="000066"/>
          <w:kern w:val="0"/>
          <w:sz w:val="24"/>
          <w:szCs w:val="24"/>
        </w:rPr>
        <w:t>2</w:t>
      </w:r>
      <w:r w:rsidRPr="0083073D">
        <w:rPr>
          <w:rFonts w:ascii="Arial" w:eastAsia="宋体" w:hAnsi="Arial" w:cs="Arial"/>
          <w:color w:val="000066"/>
          <w:kern w:val="0"/>
          <w:sz w:val="24"/>
          <w:szCs w:val="24"/>
        </w:rPr>
        <w:t>小时，且未使用有效替代措施的，应当使用岸电；船舶、码头岸电设施临时发生故障，或者恶劣气候、意外事故等紧急情况下无法使用岸电的除外。</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船舶靠泊不足前款规定时间的，鼓励使用岸电。</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第十二条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船舶靠港使用岸电的用电量不计入港口能耗统计范围。</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第三章　服务和安全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lastRenderedPageBreak/>
        <w:t xml:space="preserve">　　第十三条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港口经营人、岸电供电企业应当将码头岸电设施主要技术参数、检测情况等信息通过网站等渠道向社会公开、及时更新，并报送所在地交通运输（港口）主管部门。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所在地交通运输（港口）主管部门应当汇总辖区全部码头岸电设施信息，通过网站等渠道向社会公开，并通报海事管理机构。</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第十四条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船舶应当在靠泊前，向港口经营人提供船舶受电设施的配备情况以及主要技术参数等信息。</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第十五条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按照第十一条规定应当使用岸电的，港口经营人应当将用电船舶安排在具备相应岸电供应能力的泊位靠泊，对其他具备受电设施的船舶，鼓励安排在具备岸电设施的泊位靠泊。</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第十六条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鼓励有关单位对使用岸电的船舶实施优先靠泊、减免岸电服务费、优先过闸或者优先通行等措施。</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第十七条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岸电供电企业和水路运输经营者应当建立健全码头岸电设施、船舶受电设施的管理、使用、维护保养制度和操作规程等，发生故障应当及时修复。</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第十八条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岸电供电企业和船舶应当如实记录岸电设备设施使用情况，并至少保存</w:t>
      </w:r>
      <w:r w:rsidRPr="0083073D">
        <w:rPr>
          <w:rFonts w:ascii="Arial" w:eastAsia="宋体" w:hAnsi="Arial" w:cs="Arial"/>
          <w:color w:val="000066"/>
          <w:kern w:val="0"/>
          <w:sz w:val="24"/>
          <w:szCs w:val="24"/>
        </w:rPr>
        <w:t>2</w:t>
      </w:r>
      <w:r w:rsidRPr="0083073D">
        <w:rPr>
          <w:rFonts w:ascii="Arial" w:eastAsia="宋体" w:hAnsi="Arial" w:cs="Arial"/>
          <w:color w:val="000066"/>
          <w:kern w:val="0"/>
          <w:sz w:val="24"/>
          <w:szCs w:val="24"/>
        </w:rPr>
        <w:t>年。记录内容主要包括泊位名称、船舶名称、靠离泊时间、岸电使用起止时间、用电量等。码头岸电设施、船舶受电设施发生故障的，还应当记录故障时间、故障情况及修复时间等。</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岸电供电企业应当按照有关规定将岸电供应情况报送所在地交通运输（港口）主管部门。船舶应当按照船舶能耗数据收集管理的要求，向海事管理机构报告岸电使用情况，将岸电使用情况</w:t>
      </w:r>
      <w:proofErr w:type="gramStart"/>
      <w:r w:rsidRPr="0083073D">
        <w:rPr>
          <w:rFonts w:ascii="Arial" w:eastAsia="宋体" w:hAnsi="Arial" w:cs="Arial"/>
          <w:color w:val="000066"/>
          <w:kern w:val="0"/>
          <w:sz w:val="24"/>
          <w:szCs w:val="24"/>
        </w:rPr>
        <w:t>记录留船备查</w:t>
      </w:r>
      <w:proofErr w:type="gramEnd"/>
      <w:r w:rsidRPr="0083073D">
        <w:rPr>
          <w:rFonts w:ascii="Arial" w:eastAsia="宋体" w:hAnsi="Arial" w:cs="Arial"/>
          <w:color w:val="000066"/>
          <w:kern w:val="0"/>
          <w:sz w:val="24"/>
          <w:szCs w:val="24"/>
        </w:rPr>
        <w:t>。</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第十九条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港口经营人、岸电供电企业和船舶应当制定事故应急预案，明确岸电使用过程中各类事故的应急处置流程，并定期进行演练，适时修订。</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岸电供电企业和水路运输经营者应当组织作业人员进行操作技能、设备使用、作业程序、安全防护和应急处置等培训。</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lastRenderedPageBreak/>
        <w:t xml:space="preserve">　　第二十一条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港口经营人、岸电供电企业和水路运输经营者应明确划分岸电使用安全责任。鼓励港口经营人、岸电供电企业和水路运输经营者购买岸电安全责任相关保险。</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第四章　监督检查</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第二十二条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码头岸电设施建设和检测，港口经营人、岸电供电企业向靠港船舶提供岸电服务以及水路运输经营者组织实施船舶受电设施安装等情况由市、县级交通运输（港口）主管部门监督检查。船舶发现港口经营人、岸电供电企业未按照规定提供岸电服务的，应当及时报告所在地交通运输（港口）主管部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海事管理机构可以通过文件查阅等方式，核查船舶受电设施满足本办法和船舶法定检验技术规则要求、船舶使用岸电等情况。港口经营人、岸电供电企业发现船舶未按照规定使用岸电的，应当及时报告海事管理机构。</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交通运输（港口）主管部门和海事管理机构应当制定相关监督检查制度，并定期相互通报有关信息。</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第二十三条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新建、改建、扩建港口工程的项目单位、已建码头的港口经营人违反第五条、第六条，港口经营人违反第十五条规定的，由所在地交通运输（港口）主管部门责令限期改正。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第二十四条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国内航行船舶未按照第十条规定</w:t>
      </w:r>
      <w:proofErr w:type="gramStart"/>
      <w:r w:rsidRPr="0083073D">
        <w:rPr>
          <w:rFonts w:ascii="Arial" w:eastAsia="宋体" w:hAnsi="Arial" w:cs="Arial"/>
          <w:color w:val="000066"/>
          <w:kern w:val="0"/>
          <w:sz w:val="24"/>
          <w:szCs w:val="24"/>
        </w:rPr>
        <w:t>安装受</w:t>
      </w:r>
      <w:proofErr w:type="gramEnd"/>
      <w:r w:rsidRPr="0083073D">
        <w:rPr>
          <w:rFonts w:ascii="Arial" w:eastAsia="宋体" w:hAnsi="Arial" w:cs="Arial"/>
          <w:color w:val="000066"/>
          <w:kern w:val="0"/>
          <w:sz w:val="24"/>
          <w:szCs w:val="24"/>
        </w:rPr>
        <w:t>电设施的，由海事管理机构通报水路运输经营者注册地交通运输主管部门；国际航行船舶未按照第十条规定</w:t>
      </w:r>
      <w:proofErr w:type="gramStart"/>
      <w:r w:rsidRPr="0083073D">
        <w:rPr>
          <w:rFonts w:ascii="Arial" w:eastAsia="宋体" w:hAnsi="Arial" w:cs="Arial"/>
          <w:color w:val="000066"/>
          <w:kern w:val="0"/>
          <w:sz w:val="24"/>
          <w:szCs w:val="24"/>
        </w:rPr>
        <w:t>安装受</w:t>
      </w:r>
      <w:proofErr w:type="gramEnd"/>
      <w:r w:rsidRPr="0083073D">
        <w:rPr>
          <w:rFonts w:ascii="Arial" w:eastAsia="宋体" w:hAnsi="Arial" w:cs="Arial"/>
          <w:color w:val="000066"/>
          <w:kern w:val="0"/>
          <w:sz w:val="24"/>
          <w:szCs w:val="24"/>
        </w:rPr>
        <w:t>电设施的，由直属海事机构汇总后定期报告交通运输部。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长江流域的水路运输经营者未按照第十条规定实施船舶受电设施建设和改造的，由注册地交通运输主管部门责令限期改正。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第二十五条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船舶违反本办法第十一条第一款规定的，由海事管理机构责令限期改正。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在长江流域港口靠泊的船舶违反本办法第十一条第一款规定的，由海事管理机构责令停止违法行为，给予警告，并视情节轻重处以罚款：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lastRenderedPageBreak/>
        <w:t xml:space="preserve">　　（一）船舶发电机组总额定功率</w:t>
      </w:r>
      <w:r w:rsidRPr="0083073D">
        <w:rPr>
          <w:rFonts w:ascii="Arial" w:eastAsia="宋体" w:hAnsi="Arial" w:cs="Arial"/>
          <w:color w:val="000066"/>
          <w:kern w:val="0"/>
          <w:sz w:val="24"/>
          <w:szCs w:val="24"/>
        </w:rPr>
        <w:t>2000</w:t>
      </w:r>
      <w:r w:rsidRPr="0083073D">
        <w:rPr>
          <w:rFonts w:ascii="Arial" w:eastAsia="宋体" w:hAnsi="Arial" w:cs="Arial"/>
          <w:color w:val="000066"/>
          <w:kern w:val="0"/>
          <w:sz w:val="24"/>
          <w:szCs w:val="24"/>
        </w:rPr>
        <w:t>千瓦（含）以下的，处一万元以上二万元以下罚款；情节严重的，处十万元以上二十万元以下罚款；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（二）船舶发电机组总额定功率</w:t>
      </w:r>
      <w:r w:rsidRPr="0083073D">
        <w:rPr>
          <w:rFonts w:ascii="Arial" w:eastAsia="宋体" w:hAnsi="Arial" w:cs="Arial"/>
          <w:color w:val="000066"/>
          <w:kern w:val="0"/>
          <w:sz w:val="24"/>
          <w:szCs w:val="24"/>
        </w:rPr>
        <w:t>2000</w:t>
      </w:r>
      <w:r w:rsidRPr="0083073D">
        <w:rPr>
          <w:rFonts w:ascii="Arial" w:eastAsia="宋体" w:hAnsi="Arial" w:cs="Arial"/>
          <w:color w:val="000066"/>
          <w:kern w:val="0"/>
          <w:sz w:val="24"/>
          <w:szCs w:val="24"/>
        </w:rPr>
        <w:t>千瓦以上</w:t>
      </w:r>
      <w:r w:rsidRPr="0083073D">
        <w:rPr>
          <w:rFonts w:ascii="Arial" w:eastAsia="宋体" w:hAnsi="Arial" w:cs="Arial"/>
          <w:color w:val="000066"/>
          <w:kern w:val="0"/>
          <w:sz w:val="24"/>
          <w:szCs w:val="24"/>
        </w:rPr>
        <w:t>8000</w:t>
      </w:r>
      <w:r w:rsidRPr="0083073D">
        <w:rPr>
          <w:rFonts w:ascii="Arial" w:eastAsia="宋体" w:hAnsi="Arial" w:cs="Arial"/>
          <w:color w:val="000066"/>
          <w:kern w:val="0"/>
          <w:sz w:val="24"/>
          <w:szCs w:val="24"/>
        </w:rPr>
        <w:t>千瓦（含）以下的，处二万元以上五万元以下罚款；情节严重的，处二十万元以上三十万元以下罚款；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（三）船舶发电机组总额定功率</w:t>
      </w:r>
      <w:r w:rsidRPr="0083073D">
        <w:rPr>
          <w:rFonts w:ascii="Arial" w:eastAsia="宋体" w:hAnsi="Arial" w:cs="Arial"/>
          <w:color w:val="000066"/>
          <w:kern w:val="0"/>
          <w:sz w:val="24"/>
          <w:szCs w:val="24"/>
        </w:rPr>
        <w:t>8000</w:t>
      </w:r>
      <w:r w:rsidRPr="0083073D">
        <w:rPr>
          <w:rFonts w:ascii="Arial" w:eastAsia="宋体" w:hAnsi="Arial" w:cs="Arial"/>
          <w:color w:val="000066"/>
          <w:kern w:val="0"/>
          <w:sz w:val="24"/>
          <w:szCs w:val="24"/>
        </w:rPr>
        <w:t>千瓦以上的，处五万元以上十万元以下罚款；情节严重的，处三十万元以上五十万元以下罚款。</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前款所称情节严重，是指船舶靠泊同一港口连续</w:t>
      </w:r>
      <w:r w:rsidRPr="0083073D">
        <w:rPr>
          <w:rFonts w:ascii="Arial" w:eastAsia="宋体" w:hAnsi="Arial" w:cs="Arial"/>
          <w:color w:val="000066"/>
          <w:kern w:val="0"/>
          <w:sz w:val="24"/>
          <w:szCs w:val="24"/>
        </w:rPr>
        <w:t>3</w:t>
      </w:r>
      <w:r w:rsidRPr="0083073D">
        <w:rPr>
          <w:rFonts w:ascii="Arial" w:eastAsia="宋体" w:hAnsi="Arial" w:cs="Arial"/>
          <w:color w:val="000066"/>
          <w:kern w:val="0"/>
          <w:sz w:val="24"/>
          <w:szCs w:val="24"/>
        </w:rPr>
        <w:t>次及以上或者连续</w:t>
      </w:r>
      <w:r w:rsidRPr="0083073D">
        <w:rPr>
          <w:rFonts w:ascii="Arial" w:eastAsia="宋体" w:hAnsi="Arial" w:cs="Arial"/>
          <w:color w:val="000066"/>
          <w:kern w:val="0"/>
          <w:sz w:val="24"/>
          <w:szCs w:val="24"/>
        </w:rPr>
        <w:t>12</w:t>
      </w:r>
      <w:r w:rsidRPr="0083073D">
        <w:rPr>
          <w:rFonts w:ascii="Arial" w:eastAsia="宋体" w:hAnsi="Arial" w:cs="Arial"/>
          <w:color w:val="000066"/>
          <w:kern w:val="0"/>
          <w:sz w:val="24"/>
          <w:szCs w:val="24"/>
        </w:rPr>
        <w:t>个月内累计</w:t>
      </w:r>
      <w:r w:rsidRPr="0083073D">
        <w:rPr>
          <w:rFonts w:ascii="Arial" w:eastAsia="宋体" w:hAnsi="Arial" w:cs="Arial"/>
          <w:color w:val="000066"/>
          <w:kern w:val="0"/>
          <w:sz w:val="24"/>
          <w:szCs w:val="24"/>
        </w:rPr>
        <w:t>6</w:t>
      </w:r>
      <w:r w:rsidRPr="0083073D">
        <w:rPr>
          <w:rFonts w:ascii="Arial" w:eastAsia="宋体" w:hAnsi="Arial" w:cs="Arial"/>
          <w:color w:val="000066"/>
          <w:kern w:val="0"/>
          <w:sz w:val="24"/>
          <w:szCs w:val="24"/>
        </w:rPr>
        <w:t>次及以上未按规定使用岸电，或者船舶受电设施出现故障不及时维修导致</w:t>
      </w:r>
      <w:r w:rsidRPr="0083073D">
        <w:rPr>
          <w:rFonts w:ascii="Arial" w:eastAsia="宋体" w:hAnsi="Arial" w:cs="Arial"/>
          <w:color w:val="000066"/>
          <w:kern w:val="0"/>
          <w:sz w:val="24"/>
          <w:szCs w:val="24"/>
        </w:rPr>
        <w:t>6</w:t>
      </w:r>
      <w:r w:rsidRPr="0083073D">
        <w:rPr>
          <w:rFonts w:ascii="Arial" w:eastAsia="宋体" w:hAnsi="Arial" w:cs="Arial"/>
          <w:color w:val="000066"/>
          <w:kern w:val="0"/>
          <w:sz w:val="24"/>
          <w:szCs w:val="24"/>
        </w:rPr>
        <w:t>个月以上无法正常使用。</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初次违法且情节轻微并及时改正的，可以不予行政处罚，由海事管理机构进行教育。</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第二十六条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水路运输经营者未按照第十七条、第十九条规定制定相关制度、应急预案，由注册地交通运输主管部门责令限期改正。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第二十七条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岸电供电企业和船舶未按照第十七条、第十八条、第十九条、第二十条规定建立相关制度或者应急预案、记录或者报送岸电供电信息、提供岸电服务，或者岸电设施出现故障不及时维修导致</w:t>
      </w:r>
      <w:r w:rsidRPr="0083073D">
        <w:rPr>
          <w:rFonts w:ascii="Arial" w:eastAsia="宋体" w:hAnsi="Arial" w:cs="Arial"/>
          <w:color w:val="000066"/>
          <w:kern w:val="0"/>
          <w:sz w:val="24"/>
          <w:szCs w:val="24"/>
        </w:rPr>
        <w:t>3</w:t>
      </w:r>
      <w:r w:rsidRPr="0083073D">
        <w:rPr>
          <w:rFonts w:ascii="Arial" w:eastAsia="宋体" w:hAnsi="Arial" w:cs="Arial"/>
          <w:color w:val="000066"/>
          <w:kern w:val="0"/>
          <w:sz w:val="24"/>
          <w:szCs w:val="24"/>
        </w:rPr>
        <w:t>个月以上无法正常使用，由所在地交通运输（港口）主管部门和海事管理机构责令限期改正。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第二十八条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船舶未按照第十八条第二款规定报告岸电使用情况，由海事管理机构责令限期改正。</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第五章　附则</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第二十九条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岸电供电质量、供电安全、电力供应与使用、供电价格等应当符合电力、价格等法规，以及电力领域的强制性标准和技术规范。</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第三十条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本办法所称船舶受电设施是指船舶岸电系统船载装置。</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lastRenderedPageBreak/>
        <w:t xml:space="preserve">　　岸电供电企业是指为靠港船舶提供岸电服务的组织或单位，可为港口经营人或者受港口经营人委托的第三方。</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有效替代措施是指船舶靠港期间使用电能、</w:t>
      </w:r>
      <w:r w:rsidRPr="0083073D">
        <w:rPr>
          <w:rFonts w:ascii="Arial" w:eastAsia="宋体" w:hAnsi="Arial" w:cs="Arial"/>
          <w:color w:val="000066"/>
          <w:kern w:val="0"/>
          <w:sz w:val="24"/>
          <w:szCs w:val="24"/>
        </w:rPr>
        <w:t>LNG</w:t>
      </w:r>
      <w:r w:rsidRPr="0083073D">
        <w:rPr>
          <w:rFonts w:ascii="Arial" w:eastAsia="宋体" w:hAnsi="Arial" w:cs="Arial"/>
          <w:color w:val="000066"/>
          <w:kern w:val="0"/>
          <w:sz w:val="24"/>
          <w:szCs w:val="24"/>
        </w:rPr>
        <w:t>等新能源、清洁能源作为动力，或者关闭辅机等其他等效措施。</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color w:val="000066"/>
          <w:kern w:val="0"/>
          <w:sz w:val="24"/>
          <w:szCs w:val="24"/>
        </w:rPr>
        <w:t xml:space="preserve">　　岸电设施是指</w:t>
      </w:r>
      <w:proofErr w:type="gramStart"/>
      <w:r w:rsidRPr="0083073D">
        <w:rPr>
          <w:rFonts w:ascii="Arial" w:eastAsia="宋体" w:hAnsi="Arial" w:cs="Arial"/>
          <w:color w:val="000066"/>
          <w:kern w:val="0"/>
          <w:sz w:val="24"/>
          <w:szCs w:val="24"/>
        </w:rPr>
        <w:t>由岸侧</w:t>
      </w:r>
      <w:proofErr w:type="gramEnd"/>
      <w:r w:rsidRPr="0083073D">
        <w:rPr>
          <w:rFonts w:ascii="Arial" w:eastAsia="宋体" w:hAnsi="Arial" w:cs="Arial"/>
          <w:color w:val="000066"/>
          <w:kern w:val="0"/>
          <w:sz w:val="24"/>
          <w:szCs w:val="24"/>
        </w:rPr>
        <w:t>电力系统向停靠码头的船舶提供电能的设备及装置的整体，主要包括开关柜、岸电电源、接电装置、电缆管理装置等。</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第三十一条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公务船舶和工程船舶使用岸电参照本办法执行。</w:t>
      </w:r>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第三十二条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军事船舶、渔船和体育船舶不适用本办法。</w:t>
      </w:r>
      <w:bookmarkStart w:id="0" w:name="_GoBack"/>
      <w:bookmarkEnd w:id="0"/>
    </w:p>
    <w:p w:rsidR="0083073D" w:rsidRPr="0083073D" w:rsidRDefault="0083073D" w:rsidP="0083073D">
      <w:pPr>
        <w:widowControl/>
        <w:shd w:val="clear" w:color="auto" w:fill="FFFFFF"/>
        <w:spacing w:before="240" w:after="240" w:line="450" w:lineRule="atLeast"/>
        <w:jc w:val="left"/>
        <w:textAlignment w:val="center"/>
        <w:rPr>
          <w:rFonts w:ascii="Arial" w:eastAsia="宋体" w:hAnsi="Arial" w:cs="Arial"/>
          <w:color w:val="000066"/>
          <w:kern w:val="0"/>
          <w:sz w:val="24"/>
          <w:szCs w:val="24"/>
        </w:rPr>
      </w:pPr>
      <w:r w:rsidRPr="0083073D">
        <w:rPr>
          <w:rFonts w:ascii="Arial" w:eastAsia="宋体" w:hAnsi="Arial" w:cs="Arial"/>
          <w:b/>
          <w:bCs/>
          <w:color w:val="000066"/>
          <w:kern w:val="0"/>
          <w:sz w:val="24"/>
          <w:szCs w:val="24"/>
        </w:rPr>
        <w:t xml:space="preserve">　　第三十三条</w:t>
      </w:r>
      <w:r w:rsidRPr="0083073D">
        <w:rPr>
          <w:rFonts w:ascii="Arial" w:eastAsia="宋体" w:hAnsi="Arial" w:cs="Arial"/>
          <w:color w:val="000066"/>
          <w:kern w:val="0"/>
          <w:sz w:val="24"/>
          <w:szCs w:val="24"/>
        </w:rPr>
        <w:t> </w:t>
      </w:r>
      <w:r w:rsidRPr="0083073D">
        <w:rPr>
          <w:rFonts w:ascii="Arial" w:eastAsia="宋体" w:hAnsi="Arial" w:cs="Arial"/>
          <w:color w:val="000066"/>
          <w:kern w:val="0"/>
          <w:sz w:val="24"/>
          <w:szCs w:val="24"/>
        </w:rPr>
        <w:t>本办法自</w:t>
      </w:r>
      <w:r w:rsidRPr="0083073D">
        <w:rPr>
          <w:rFonts w:ascii="Arial" w:eastAsia="宋体" w:hAnsi="Arial" w:cs="Arial"/>
          <w:color w:val="000066"/>
          <w:kern w:val="0"/>
          <w:sz w:val="24"/>
          <w:szCs w:val="24"/>
        </w:rPr>
        <w:t>2020</w:t>
      </w:r>
      <w:r w:rsidRPr="0083073D">
        <w:rPr>
          <w:rFonts w:ascii="Arial" w:eastAsia="宋体" w:hAnsi="Arial" w:cs="Arial"/>
          <w:color w:val="000066"/>
          <w:kern w:val="0"/>
          <w:sz w:val="24"/>
          <w:szCs w:val="24"/>
        </w:rPr>
        <w:t>年</w:t>
      </w:r>
      <w:r w:rsidRPr="0083073D">
        <w:rPr>
          <w:rFonts w:ascii="Arial" w:eastAsia="宋体" w:hAnsi="Arial" w:cs="Arial"/>
          <w:color w:val="000066"/>
          <w:kern w:val="0"/>
          <w:sz w:val="24"/>
          <w:szCs w:val="24"/>
        </w:rPr>
        <w:t>2</w:t>
      </w:r>
      <w:r w:rsidRPr="0083073D">
        <w:rPr>
          <w:rFonts w:ascii="Arial" w:eastAsia="宋体" w:hAnsi="Arial" w:cs="Arial"/>
          <w:color w:val="000066"/>
          <w:kern w:val="0"/>
          <w:sz w:val="24"/>
          <w:szCs w:val="24"/>
        </w:rPr>
        <w:t>月</w:t>
      </w:r>
      <w:r w:rsidRPr="0083073D">
        <w:rPr>
          <w:rFonts w:ascii="Arial" w:eastAsia="宋体" w:hAnsi="Arial" w:cs="Arial"/>
          <w:color w:val="000066"/>
          <w:kern w:val="0"/>
          <w:sz w:val="24"/>
          <w:szCs w:val="24"/>
        </w:rPr>
        <w:t>1</w:t>
      </w:r>
      <w:r w:rsidRPr="0083073D">
        <w:rPr>
          <w:rFonts w:ascii="Arial" w:eastAsia="宋体" w:hAnsi="Arial" w:cs="Arial"/>
          <w:color w:val="000066"/>
          <w:kern w:val="0"/>
          <w:sz w:val="24"/>
          <w:szCs w:val="24"/>
        </w:rPr>
        <w:t>日起施行。</w:t>
      </w:r>
    </w:p>
    <w:p w:rsidR="00950980" w:rsidRPr="0083073D" w:rsidRDefault="00950980"/>
    <w:sectPr w:rsidR="00950980" w:rsidRPr="008307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A5" w:rsidRDefault="00B143A5" w:rsidP="0083073D">
      <w:r>
        <w:separator/>
      </w:r>
    </w:p>
  </w:endnote>
  <w:endnote w:type="continuationSeparator" w:id="0">
    <w:p w:rsidR="00B143A5" w:rsidRDefault="00B143A5" w:rsidP="0083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301632"/>
      <w:docPartObj>
        <w:docPartGallery w:val="Page Numbers (Bottom of Page)"/>
        <w:docPartUnique/>
      </w:docPartObj>
    </w:sdtPr>
    <w:sdtContent>
      <w:p w:rsidR="0083073D" w:rsidRDefault="0083073D">
        <w:pPr>
          <w:pStyle w:val="a4"/>
          <w:jc w:val="center"/>
        </w:pPr>
        <w:r>
          <w:fldChar w:fldCharType="begin"/>
        </w:r>
        <w:r>
          <w:instrText>PAGE   \* MERGEFORMAT</w:instrText>
        </w:r>
        <w:r>
          <w:fldChar w:fldCharType="separate"/>
        </w:r>
        <w:r w:rsidRPr="0083073D">
          <w:rPr>
            <w:noProof/>
            <w:lang w:val="zh-CN"/>
          </w:rPr>
          <w:t>8</w:t>
        </w:r>
        <w:r>
          <w:fldChar w:fldCharType="end"/>
        </w:r>
      </w:p>
    </w:sdtContent>
  </w:sdt>
  <w:p w:rsidR="0083073D" w:rsidRDefault="00830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A5" w:rsidRDefault="00B143A5" w:rsidP="0083073D">
      <w:r>
        <w:separator/>
      </w:r>
    </w:p>
  </w:footnote>
  <w:footnote w:type="continuationSeparator" w:id="0">
    <w:p w:rsidR="00B143A5" w:rsidRDefault="00B143A5" w:rsidP="00830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F2"/>
    <w:rsid w:val="0083073D"/>
    <w:rsid w:val="00846AF2"/>
    <w:rsid w:val="00950980"/>
    <w:rsid w:val="00B1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2ABFB8-96CF-4C61-AA2B-0A3DD9AF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73D"/>
    <w:rPr>
      <w:sz w:val="18"/>
      <w:szCs w:val="18"/>
    </w:rPr>
  </w:style>
  <w:style w:type="paragraph" w:styleId="a4">
    <w:name w:val="footer"/>
    <w:basedOn w:val="a"/>
    <w:link w:val="Char0"/>
    <w:uiPriority w:val="99"/>
    <w:unhideWhenUsed/>
    <w:rsid w:val="0083073D"/>
    <w:pPr>
      <w:tabs>
        <w:tab w:val="center" w:pos="4153"/>
        <w:tab w:val="right" w:pos="8306"/>
      </w:tabs>
      <w:snapToGrid w:val="0"/>
      <w:jc w:val="left"/>
    </w:pPr>
    <w:rPr>
      <w:sz w:val="18"/>
      <w:szCs w:val="18"/>
    </w:rPr>
  </w:style>
  <w:style w:type="character" w:customStyle="1" w:styleId="Char0">
    <w:name w:val="页脚 Char"/>
    <w:basedOn w:val="a0"/>
    <w:link w:val="a4"/>
    <w:uiPriority w:val="99"/>
    <w:rsid w:val="00830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368">
      <w:bodyDiv w:val="1"/>
      <w:marLeft w:val="0"/>
      <w:marRight w:val="0"/>
      <w:marTop w:val="0"/>
      <w:marBottom w:val="0"/>
      <w:divBdr>
        <w:top w:val="none" w:sz="0" w:space="0" w:color="auto"/>
        <w:left w:val="none" w:sz="0" w:space="0" w:color="auto"/>
        <w:bottom w:val="none" w:sz="0" w:space="0" w:color="auto"/>
        <w:right w:val="none" w:sz="0" w:space="0" w:color="auto"/>
      </w:divBdr>
      <w:divsChild>
        <w:div w:id="1658918106">
          <w:marLeft w:val="0"/>
          <w:marRight w:val="0"/>
          <w:marTop w:val="0"/>
          <w:marBottom w:val="0"/>
          <w:divBdr>
            <w:top w:val="none" w:sz="0" w:space="0" w:color="auto"/>
            <w:left w:val="none" w:sz="0" w:space="0" w:color="auto"/>
            <w:bottom w:val="none" w:sz="0" w:space="0" w:color="auto"/>
            <w:right w:val="none" w:sz="0" w:space="0" w:color="auto"/>
          </w:divBdr>
          <w:divsChild>
            <w:div w:id="11732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psusr</dc:creator>
  <cp:keywords/>
  <dc:description/>
  <cp:lastModifiedBy>psusr</cp:lastModifiedBy>
  <cp:revision>2</cp:revision>
  <dcterms:created xsi:type="dcterms:W3CDTF">2021-09-27T00:50:00Z</dcterms:created>
  <dcterms:modified xsi:type="dcterms:W3CDTF">2021-09-27T00:51:00Z</dcterms:modified>
</cp:coreProperties>
</file>